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514" w:rsidRDefault="00983514" w:rsidP="00983514">
      <w:pPr>
        <w:spacing w:after="0" w:line="240" w:lineRule="auto"/>
        <w:rPr>
          <w:rFonts w:ascii="Arial" w:hAnsi="Arial" w:cs="Arial"/>
          <w:sz w:val="16"/>
        </w:rPr>
      </w:pPr>
    </w:p>
    <w:tbl>
      <w:tblPr>
        <w:tblW w:w="0" w:type="auto"/>
        <w:tblBorders>
          <w:bottom w:val="thickThinSmallGap" w:sz="24" w:space="0" w:color="AFE1FF"/>
        </w:tblBorders>
        <w:tblLayout w:type="fixed"/>
        <w:tblCellMar>
          <w:top w:w="28" w:type="dxa"/>
          <w:left w:w="70" w:type="dxa"/>
          <w:bottom w:w="28" w:type="dxa"/>
          <w:right w:w="70" w:type="dxa"/>
        </w:tblCellMar>
        <w:tblLook w:val="0000"/>
      </w:tblPr>
      <w:tblGrid>
        <w:gridCol w:w="9638"/>
      </w:tblGrid>
      <w:tr w:rsidR="00983514" w:rsidRPr="00983514" w:rsidTr="00983514">
        <w:trPr>
          <w:trHeight w:val="240"/>
        </w:trPr>
        <w:tc>
          <w:tcPr>
            <w:tcW w:w="9638" w:type="dxa"/>
            <w:shd w:val="clear" w:color="auto" w:fill="auto"/>
            <w:vAlign w:val="center"/>
          </w:tcPr>
          <w:p w:rsidR="00983514" w:rsidRPr="00983514" w:rsidRDefault="00983514" w:rsidP="00983514">
            <w:pPr>
              <w:spacing w:after="0" w:line="240" w:lineRule="auto"/>
              <w:rPr>
                <w:rFonts w:ascii="Arial" w:hAnsi="Arial" w:cs="Arial"/>
                <w:b/>
                <w:sz w:val="18"/>
              </w:rPr>
            </w:pPr>
            <w:r>
              <w:rPr>
                <w:rFonts w:ascii="Arial" w:hAnsi="Arial" w:cs="Arial"/>
                <w:b/>
                <w:sz w:val="18"/>
              </w:rPr>
              <w:t>Scheda informativa</w:t>
            </w:r>
          </w:p>
        </w:tc>
      </w:tr>
      <w:tr w:rsidR="00983514" w:rsidRPr="00983514" w:rsidTr="00983514">
        <w:trPr>
          <w:trHeight w:val="240"/>
        </w:trPr>
        <w:tc>
          <w:tcPr>
            <w:tcW w:w="9638" w:type="dxa"/>
            <w:shd w:val="clear" w:color="auto" w:fill="auto"/>
            <w:vAlign w:val="center"/>
          </w:tcPr>
          <w:p w:rsidR="00983514" w:rsidRPr="00983514" w:rsidRDefault="00983514" w:rsidP="00983514">
            <w:pPr>
              <w:spacing w:after="0" w:line="240" w:lineRule="auto"/>
              <w:rPr>
                <w:rFonts w:ascii="Arial" w:hAnsi="Arial" w:cs="Arial"/>
                <w:sz w:val="18"/>
              </w:rPr>
            </w:pPr>
            <w:r>
              <w:rPr>
                <w:rFonts w:ascii="Arial" w:hAnsi="Arial" w:cs="Arial"/>
                <w:sz w:val="18"/>
              </w:rPr>
              <w:t>Scheda informativa del prodotto cosmetico</w:t>
            </w:r>
          </w:p>
        </w:tc>
      </w:tr>
    </w:tbl>
    <w:p w:rsidR="00983514" w:rsidRDefault="00983514" w:rsidP="00983514">
      <w:pPr>
        <w:spacing w:after="0" w:line="240" w:lineRule="auto"/>
        <w:rPr>
          <w:rFonts w:ascii="Arial" w:hAnsi="Arial" w:cs="Arial"/>
          <w:sz w:val="16"/>
        </w:rPr>
      </w:pPr>
    </w:p>
    <w:tbl>
      <w:tblPr>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CellMar>
          <w:top w:w="28" w:type="dxa"/>
          <w:left w:w="70" w:type="dxa"/>
          <w:bottom w:w="28" w:type="dxa"/>
          <w:right w:w="70" w:type="dxa"/>
        </w:tblCellMar>
        <w:tblLook w:val="0000"/>
      </w:tblPr>
      <w:tblGrid>
        <w:gridCol w:w="2891"/>
        <w:gridCol w:w="6747"/>
      </w:tblGrid>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Identificazione del prodotto e della società/impresa</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Dati relativi al prodotto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Nome commerciale e altri elementi identificativi del prodotto</w:t>
            </w:r>
          </w:p>
        </w:tc>
        <w:tc>
          <w:tcPr>
            <w:tcW w:w="6747" w:type="dxa"/>
            <w:tcBorders>
              <w:bottom w:val="dotted" w:sz="2" w:space="0" w:color="auto"/>
            </w:tcBorders>
            <w:shd w:val="clear" w:color="auto" w:fill="FFFFFF"/>
            <w:vAlign w:val="center"/>
          </w:tcPr>
          <w:p w:rsidR="00983514" w:rsidRPr="00983514" w:rsidRDefault="00983514" w:rsidP="006464CF">
            <w:pPr>
              <w:spacing w:after="0" w:line="240" w:lineRule="auto"/>
              <w:rPr>
                <w:rFonts w:ascii="Arial" w:hAnsi="Arial" w:cs="Arial"/>
                <w:sz w:val="18"/>
              </w:rPr>
            </w:pPr>
            <w:r>
              <w:rPr>
                <w:rFonts w:ascii="Arial" w:hAnsi="Arial" w:cs="Arial"/>
                <w:sz w:val="18"/>
              </w:rPr>
              <w:t>M-laser - crema corpo idratante protettiva SPF 30 - TEC005</w:t>
            </w:r>
            <w:r w:rsidR="006464CF">
              <w:rPr>
                <w:rFonts w:ascii="Arial" w:hAnsi="Arial" w:cs="Arial"/>
                <w:sz w:val="18"/>
              </w:rPr>
              <w:t>D</w:t>
            </w: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Dati relativi al fornitore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Identificazione del produttore/fornitore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Beauty2b srl, Via Polanga n.1, Foligno (PG).</w:t>
            </w: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Ufficio/persona da contattare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Andrea Pascucci</w:t>
            </w: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Recapito telefonico per informazioni ed emergenza</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0742 391000</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Composizione/informazione sul prodotto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Composizione e altri elementi descrittivi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Ingredienti/ingredients:</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Aqua, Dibutyl adipate, Diethylamino hydroxybenzoyl hexyl benzoate, Ethylhexyl methoxycinnamate, Laureth-7 citrate, Polyglyceryl-2 dipolyhydroxystearate, Acrylates/beheneth-25 methacrylate copolymer, Passiflora incarnata seed oil, Propylheptyl caprylate, Ethylhexyl triazone, Bis-ethylhexyloxyphenol methoxyphenyl triazine, Tridecane, Undecane, Phenoxyethanol, Triethanolamine, Sodium polyacrylate, Sodium stearoyl glutamate, Lauryl glucoside, Sodium hydroxide, Xanthan gum, Ethylhexylglycerin, Propylene glycol, Parfum, Tetrasodium glutamate diacetate, Linalool, Citronellol, Calendula officinalis flower extract, Chamomilla recutita flower extract, Benzyl salicylate, Eugenol, Butylphenyl methylpropional, Hexyl cinnamal, Hydroxycitronellal, Isoeugenol, Coumarin, Benzyl benzoate, Geraniol, Limonene, Benzyl alcohol, Farnesol, Anise alcohol, Citral, Amyl cinnamal</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Identificazione di eventuali pericoli</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su eventuali pericoli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Pericoli di tipo fisico-chimico, potenziali effetti negativi per la salute e l’ambiente e sintomi connessi all’uso ed agli eventuali usi impropri del prodotto</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Quando usato secondo le istruzioni fornite dal produttore, il prodotto è sicuro per l'uomo e per l'ambiente.</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Interventi di primo soccorso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Indicazioni di primo intervento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Ingestione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non indurre il vomito. Sciacquare la bocca e bere un bicchiere di acqua. Se opportuno, consultare un Centro Anti-veleni o un medico.</w:t>
            </w: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Contatto con gli occhi</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sciacquare immediatamente con abbondante acqua tiepida; se l'irritazione persiste, consultare un medico come misura precauzionale.</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antincendio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Mezzi e procedure antincendio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Mezzi di estinzione e procedure in caso di incendio, indicazione dei mezzi estinguenti idonei e non, oltre ad eventuali pericoli legati all’esposizione ai prodotti o ai gas della combustione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Sono adatti tutti i mezzi antincendio comuni.</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Provvedimento in caso di fuoriuscita accidentale</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rivolte alle persone e all'ambiente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Precauzioni e provvedimenti</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 xml:space="preserve">Raccogliere il prodotto fuoriuscito con stracci, convogliare in adatti contenitori per lo smaltimento secondo le norme. Lavare con molta acqua le zone contaminate. </w:t>
            </w:r>
            <w:r>
              <w:rPr>
                <w:rFonts w:ascii="Arial" w:hAnsi="Arial" w:cs="Arial"/>
                <w:sz w:val="18"/>
              </w:rPr>
              <w:lastRenderedPageBreak/>
              <w:t>Non rimettere mai il prodotto fuoriuscito nel contenitore originale. Non riutilizzare mai il prodotto fuoriuscito.</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lastRenderedPageBreak/>
              <w:t>Manipolazione e immagazzinamento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Manipolazione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per la manipolazione del prodotto</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Seguire attentamente le istruzioni riportate sulla confezione. Evitare qualdsiasi tipo di uso non previsto nelle istruzioni. Evitare le miscelazioni con altri prodotti o prodotti similari o con sostanze diverse non previste nelle specifiche istruzioni. Tenere il prodotto fuori dalla portata dei bambini.</w:t>
            </w: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Stoccaggio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Indicazioni generali per lo stoccaggio</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Conservare in luoghi asciutti e ben areati (temperatura ambiente). Non stoccare né usare il prodotto vicino a fiamme libere o a fonti di calore o apparecchi elettrici o alla luce solare diretta. Non stoccare il prodotto a temperatura inferiore a 5°. Richiudere bene il contenitore dopo l'uso.</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Protezione personale/controllo dell'esposizione</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Misure generali protettive e di igiene del lavoro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Precauzioni e provvedimenti specifici di protezione e di prevenzione che devono essere presi durante l’uso del prodotto allo scopo di ridurre al minimo l’esposizione del personale e dell’ambiente</w:t>
            </w:r>
          </w:p>
        </w:tc>
        <w:tc>
          <w:tcPr>
            <w:tcW w:w="6747" w:type="dxa"/>
            <w:tcBorders>
              <w:bottom w:val="dotted" w:sz="2" w:space="0" w:color="auto"/>
            </w:tcBorders>
            <w:shd w:val="clear" w:color="auto" w:fill="FFFFFF"/>
            <w:vAlign w:val="center"/>
          </w:tcPr>
          <w:p w:rsidR="00983514" w:rsidRDefault="00983514" w:rsidP="00983514">
            <w:pPr>
              <w:spacing w:after="0" w:line="240" w:lineRule="auto"/>
              <w:rPr>
                <w:rFonts w:ascii="Arial" w:hAnsi="Arial" w:cs="Arial"/>
                <w:sz w:val="18"/>
              </w:rPr>
            </w:pPr>
            <w:r>
              <w:rPr>
                <w:rFonts w:ascii="Arial" w:hAnsi="Arial" w:cs="Arial"/>
                <w:sz w:val="18"/>
              </w:rPr>
              <w:t>L'ambiente di lavoro deve essere adeguatamente areato, eventualmente con ricambio meccanico dell'aria ((Titolo II, D. Lgs. 81/2008 e s.m.i.). I punti in cui possono verificarsi emissioni di vapori, gas o polveri, o spandimenti di sostanze, dovranno essere predisposti in zone distinte, dotate di impianti di aspirazione localizzata o sistemi di raccolta (all. IV punto 2 D. Lgs 81/08 e s.m.i).</w:t>
            </w:r>
          </w:p>
          <w:p w:rsidR="00983514" w:rsidRDefault="00983514" w:rsidP="00983514">
            <w:pPr>
              <w:spacing w:after="0" w:line="240" w:lineRule="auto"/>
              <w:rPr>
                <w:rFonts w:ascii="Arial" w:hAnsi="Arial" w:cs="Arial"/>
                <w:sz w:val="18"/>
              </w:rPr>
            </w:pPr>
            <w:r>
              <w:rPr>
                <w:rFonts w:ascii="Arial" w:hAnsi="Arial" w:cs="Arial"/>
                <w:sz w:val="18"/>
              </w:rPr>
              <w:t xml:space="preserve"> </w:t>
            </w:r>
          </w:p>
          <w:p w:rsidR="00983514" w:rsidRDefault="00983514" w:rsidP="00983514">
            <w:pPr>
              <w:spacing w:after="0" w:line="240" w:lineRule="auto"/>
              <w:rPr>
                <w:rFonts w:ascii="Arial" w:hAnsi="Arial" w:cs="Arial"/>
                <w:sz w:val="18"/>
              </w:rPr>
            </w:pPr>
            <w:r>
              <w:rPr>
                <w:rFonts w:ascii="Arial" w:hAnsi="Arial" w:cs="Arial"/>
                <w:sz w:val="18"/>
              </w:rPr>
              <w:t>Nel caso in cui il Datore di lavoro identifichi rischi non evitabili o non sufficientemente riducibili con altri mezzi, è tenuto a mettere a disposizione dei lavoratori adeguati Dispositivi di Protezione Individuale (DPI) (artt. 75 e 77 D. Lgs 81/2008 e s.m.i.).</w:t>
            </w:r>
          </w:p>
          <w:p w:rsidR="00983514" w:rsidRPr="00983514" w:rsidRDefault="00983514" w:rsidP="00983514">
            <w:pPr>
              <w:spacing w:after="0" w:line="240" w:lineRule="auto"/>
              <w:rPr>
                <w:rFonts w:ascii="Arial" w:hAnsi="Arial" w:cs="Arial"/>
                <w:sz w:val="18"/>
              </w:rPr>
            </w:pPr>
            <w:r>
              <w:rPr>
                <w:rFonts w:ascii="Arial" w:hAnsi="Arial" w:cs="Arial"/>
                <w:sz w:val="18"/>
              </w:rPr>
              <w:t>I DPI devono essere conformi alle norme previste dal D.Lgs. 475/92 e s.m.i. (art. 76 D. Lgs. 81/2008 e s.m.i.).</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Stabilità e reattività</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Stabilità</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generali sulla stabilità e la possibilità che in determinate condizioni si verifichino reazioni pericolose, anche in caso di dispersione nell’ambiente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Prodotto stabile a temperatura ambiente.</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tossicologiche</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generali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tossicologiche sul prodotto e i suoi componenti, se necessarie per una corretta manipolazione</w:t>
            </w:r>
          </w:p>
        </w:tc>
        <w:tc>
          <w:tcPr>
            <w:tcW w:w="6747"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Se dalla Valutazione dei rischi (art.28 del D. Lgs. 81/2008) dericva la necessità di attivare la sorveglianza sanitaria, il datore di lavoro dovrà nominare un medico competente (art. 18, comma 1, lettera a)) per sottoporre i lavoratori alle visite preassuntive e periodiche previste dalla norma (art.41 del D. Lgs. 81/2008). I lavoratori hanno l'obbligo di sottoporsi alla sorveglianza sanitaria prescritta dal Medico competente (artt. 20 e 78 D. Lgs, 81/08),</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Osservazioni sullo smaltimento</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Considerazioni sullo smaltimento</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Descrizione dei metodi idonei per lo smaltimento del prodotto, nonché degli eventuali imballaggi contaminati</w:t>
            </w:r>
          </w:p>
        </w:tc>
        <w:tc>
          <w:tcPr>
            <w:tcW w:w="6747" w:type="dxa"/>
            <w:tcBorders>
              <w:bottom w:val="dotted" w:sz="2" w:space="0" w:color="auto"/>
            </w:tcBorders>
            <w:shd w:val="clear" w:color="auto" w:fill="FFFFFF"/>
            <w:vAlign w:val="center"/>
          </w:tcPr>
          <w:p w:rsidR="00983514" w:rsidRDefault="00983514" w:rsidP="00983514">
            <w:pPr>
              <w:spacing w:after="0" w:line="240" w:lineRule="auto"/>
              <w:rPr>
                <w:rFonts w:ascii="Arial" w:hAnsi="Arial" w:cs="Arial"/>
                <w:sz w:val="18"/>
              </w:rPr>
            </w:pPr>
            <w:r>
              <w:rPr>
                <w:rFonts w:ascii="Arial" w:hAnsi="Arial" w:cs="Arial"/>
                <w:sz w:val="18"/>
              </w:rPr>
              <w:t>Relativamente allo smaltimento dei prodotti cosmetici, la normativa di riferimento è la Parte quarta del D. Lgs. 152/06 (Codice dell'Ambiente) e successive modifiche.</w:t>
            </w:r>
          </w:p>
          <w:p w:rsidR="00983514" w:rsidRDefault="00983514" w:rsidP="00983514">
            <w:pPr>
              <w:spacing w:after="0" w:line="240" w:lineRule="auto"/>
              <w:rPr>
                <w:rFonts w:ascii="Arial" w:hAnsi="Arial" w:cs="Arial"/>
                <w:sz w:val="18"/>
              </w:rPr>
            </w:pPr>
          </w:p>
          <w:p w:rsidR="00983514" w:rsidRDefault="00983514" w:rsidP="00983514">
            <w:pPr>
              <w:spacing w:after="0" w:line="240" w:lineRule="auto"/>
              <w:rPr>
                <w:rFonts w:ascii="Arial" w:hAnsi="Arial" w:cs="Arial"/>
                <w:sz w:val="18"/>
              </w:rPr>
            </w:pPr>
            <w:r>
              <w:rPr>
                <w:rFonts w:ascii="Arial" w:hAnsi="Arial" w:cs="Arial"/>
                <w:sz w:val="18"/>
              </w:rPr>
              <w:t>Ai fini dello smaltimento, i rifiuti non pericolosi provenienti da attività artigianali (nel caso di un salone di acconciatura o estetica si tratta di flaconi o contenitori usati vuoti) possono essere assimilati agli urbani se il Comune di appartenenza ha attuato le disposizioni previste all’art. 198 del D.Lgs. 152/06 (Codice dell'Ambiente) che elenca le competenze dei Comuni.</w:t>
            </w:r>
          </w:p>
          <w:p w:rsidR="00983514" w:rsidRDefault="00983514" w:rsidP="00983514">
            <w:pPr>
              <w:spacing w:after="0" w:line="240" w:lineRule="auto"/>
              <w:rPr>
                <w:rFonts w:ascii="Arial" w:hAnsi="Arial" w:cs="Arial"/>
                <w:sz w:val="18"/>
              </w:rPr>
            </w:pPr>
          </w:p>
          <w:p w:rsidR="00983514" w:rsidRPr="00983514" w:rsidRDefault="00983514" w:rsidP="00983514">
            <w:pPr>
              <w:spacing w:after="0" w:line="240" w:lineRule="auto"/>
              <w:rPr>
                <w:rFonts w:ascii="Arial" w:hAnsi="Arial" w:cs="Arial"/>
                <w:sz w:val="18"/>
              </w:rPr>
            </w:pPr>
            <w:r>
              <w:rPr>
                <w:rFonts w:ascii="Arial" w:hAnsi="Arial" w:cs="Arial"/>
                <w:sz w:val="18"/>
              </w:rPr>
              <w:t xml:space="preserve">In base alla Parte terza Sezione II Titolo III e IV D. Lgs. 152/06  in materia di tutela delle acque e alle disposizioni regionali le attività professionali di acconciatura possono essere qualificate come insediamenti civili le cui acque di scarico possono essere assimilate alle acque reflue domestiche ed immesse in fognatura </w:t>
            </w:r>
            <w:r>
              <w:rPr>
                <w:rFonts w:ascii="Arial" w:hAnsi="Arial" w:cs="Arial"/>
                <w:sz w:val="18"/>
              </w:rPr>
              <w:lastRenderedPageBreak/>
              <w:t>come tali, purchè osservino i regolamenti emanati dalle autorità locali (ad es. Comuni e Consorzi) che gestiscono la pubblica fognatura.</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lastRenderedPageBreak/>
              <w:t>Informazioni sulla normativa</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Informazioni sulla regolamentazione</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 xml:space="preserve">Regolamento (CE) 1223/2009 in materia di prodotti cosmetici pronti all'uso; Regolamento (CE) 1272/2008 in materia di classificazione, etichettatura e imballaggio delle sostanze chimiche </w:t>
            </w:r>
          </w:p>
        </w:tc>
        <w:tc>
          <w:tcPr>
            <w:tcW w:w="6747" w:type="dxa"/>
            <w:tcBorders>
              <w:bottom w:val="dotted" w:sz="2" w:space="0" w:color="auto"/>
            </w:tcBorders>
            <w:shd w:val="clear" w:color="auto" w:fill="FFFFFF"/>
            <w:vAlign w:val="center"/>
          </w:tcPr>
          <w:p w:rsidR="00983514" w:rsidRDefault="00983514" w:rsidP="00983514">
            <w:pPr>
              <w:spacing w:after="0" w:line="240" w:lineRule="auto"/>
              <w:rPr>
                <w:rFonts w:ascii="Arial" w:hAnsi="Arial" w:cs="Arial"/>
                <w:sz w:val="18"/>
              </w:rPr>
            </w:pPr>
            <w:r>
              <w:rPr>
                <w:rFonts w:ascii="Arial" w:hAnsi="Arial" w:cs="Arial"/>
                <w:sz w:val="18"/>
              </w:rPr>
              <w:t>I prodotti cosmetici finiti sono fabbricati e commercializzati in conformità al Regolamento (CE) 1223/2009 e successive modifiche.</w:t>
            </w:r>
          </w:p>
          <w:p w:rsidR="00983514" w:rsidRPr="00983514" w:rsidRDefault="00983514" w:rsidP="00983514">
            <w:pPr>
              <w:spacing w:after="0" w:line="240" w:lineRule="auto"/>
              <w:rPr>
                <w:rFonts w:ascii="Arial" w:hAnsi="Arial" w:cs="Arial"/>
                <w:sz w:val="18"/>
              </w:rPr>
            </w:pPr>
            <w:r>
              <w:rPr>
                <w:rFonts w:ascii="Arial" w:hAnsi="Arial" w:cs="Arial"/>
                <w:sz w:val="18"/>
              </w:rPr>
              <w:t>I prodotti cosmetici finiti sono specificatamente esclusi dal campo di applicazione della Legislazione comunitaria sulle sostanze e miscele pericolose (Regolamento (CE) 1272/2008). Sono esclusi anche dai provvedimenti del titolo IV del Regolamento (CE) 1907/2006.</w:t>
            </w:r>
          </w:p>
        </w:tc>
      </w:tr>
      <w:tr w:rsidR="00983514" w:rsidRPr="00983514" w:rsidTr="00983514">
        <w:trPr>
          <w:trHeight w:val="240"/>
        </w:trPr>
        <w:tc>
          <w:tcPr>
            <w:tcW w:w="2891"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B6B6B6"/>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r>
              <w:rPr>
                <w:rFonts w:ascii="Arial" w:hAnsi="Arial" w:cs="Arial"/>
                <w:sz w:val="18"/>
              </w:rPr>
              <w:t>Altre informazioni</w:t>
            </w:r>
          </w:p>
        </w:tc>
        <w:tc>
          <w:tcPr>
            <w:tcW w:w="6747" w:type="dxa"/>
            <w:tcBorders>
              <w:bottom w:val="dotted" w:sz="2" w:space="0" w:color="auto"/>
            </w:tcBorders>
            <w:shd w:val="clear" w:color="auto" w:fill="DEDEDE"/>
            <w:vAlign w:val="center"/>
          </w:tcPr>
          <w:p w:rsidR="00983514" w:rsidRPr="00983514" w:rsidRDefault="00983514" w:rsidP="00983514">
            <w:pPr>
              <w:spacing w:after="0" w:line="240" w:lineRule="auto"/>
              <w:rPr>
                <w:rFonts w:ascii="Arial" w:hAnsi="Arial" w:cs="Arial"/>
                <w:sz w:val="18"/>
              </w:rPr>
            </w:pPr>
          </w:p>
        </w:tc>
      </w:tr>
      <w:tr w:rsidR="00983514" w:rsidRPr="00983514" w:rsidTr="00983514">
        <w:trPr>
          <w:trHeight w:val="240"/>
        </w:trPr>
        <w:tc>
          <w:tcPr>
            <w:tcW w:w="2891" w:type="dxa"/>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Data di compilazione della scheda</w:t>
            </w:r>
          </w:p>
        </w:tc>
        <w:tc>
          <w:tcPr>
            <w:tcW w:w="6747" w:type="dxa"/>
            <w:shd w:val="clear" w:color="auto" w:fill="FFFFFF"/>
            <w:vAlign w:val="center"/>
          </w:tcPr>
          <w:p w:rsidR="00983514" w:rsidRPr="00983514" w:rsidRDefault="00983514" w:rsidP="00983514">
            <w:pPr>
              <w:spacing w:after="0" w:line="240" w:lineRule="auto"/>
              <w:rPr>
                <w:rFonts w:ascii="Arial" w:hAnsi="Arial" w:cs="Arial"/>
                <w:sz w:val="18"/>
              </w:rPr>
            </w:pPr>
            <w:r>
              <w:rPr>
                <w:rFonts w:ascii="Arial" w:hAnsi="Arial" w:cs="Arial"/>
                <w:sz w:val="18"/>
              </w:rPr>
              <w:t>23/12/2019</w:t>
            </w:r>
          </w:p>
        </w:tc>
      </w:tr>
    </w:tbl>
    <w:p w:rsidR="00983514" w:rsidRDefault="00983514" w:rsidP="00983514">
      <w:pPr>
        <w:spacing w:after="0" w:line="240" w:lineRule="auto"/>
        <w:rPr>
          <w:rFonts w:ascii="Arial" w:hAnsi="Arial" w:cs="Arial"/>
          <w:sz w:val="16"/>
        </w:rPr>
      </w:pPr>
    </w:p>
    <w:p w:rsidR="00A8388A" w:rsidRPr="00983514" w:rsidRDefault="00A8388A">
      <w:pPr>
        <w:rPr>
          <w:rFonts w:ascii="Arial" w:hAnsi="Arial" w:cs="Arial"/>
          <w:sz w:val="16"/>
        </w:rPr>
      </w:pPr>
    </w:p>
    <w:sectPr w:rsidR="00A8388A" w:rsidRPr="00983514" w:rsidSect="00983514">
      <w:footerReference w:type="default" r:id="rId6"/>
      <w:pgSz w:w="11906" w:h="16838"/>
      <w:pgMar w:top="1417" w:right="1134" w:bottom="1417" w:left="1134"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0BB" w:rsidRDefault="00BA70BB" w:rsidP="00983514">
      <w:pPr>
        <w:spacing w:after="0" w:line="240" w:lineRule="auto"/>
      </w:pPr>
      <w:r>
        <w:separator/>
      </w:r>
    </w:p>
  </w:endnote>
  <w:endnote w:type="continuationSeparator" w:id="1">
    <w:p w:rsidR="00BA70BB" w:rsidRDefault="00BA70BB" w:rsidP="009835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dotted" w:sz="2" w:space="0" w:color="auto"/>
      </w:tblBorders>
      <w:tblLayout w:type="fixed"/>
      <w:tblCellMar>
        <w:top w:w="113" w:type="dxa"/>
        <w:left w:w="70" w:type="dxa"/>
        <w:right w:w="70" w:type="dxa"/>
      </w:tblCellMar>
      <w:tblLook w:val="0000"/>
    </w:tblPr>
    <w:tblGrid>
      <w:gridCol w:w="9778"/>
    </w:tblGrid>
    <w:tr w:rsidR="00983514" w:rsidTr="00983514">
      <w:tblPrEx>
        <w:tblCellMar>
          <w:bottom w:w="0" w:type="dxa"/>
        </w:tblCellMar>
      </w:tblPrEx>
      <w:tc>
        <w:tcPr>
          <w:tcW w:w="9778" w:type="dxa"/>
          <w:shd w:val="clear" w:color="auto" w:fill="auto"/>
        </w:tcPr>
        <w:p w:rsidR="00983514" w:rsidRDefault="00983514" w:rsidP="00983514">
          <w:pPr>
            <w:pStyle w:val="Pidipagina"/>
            <w:rPr>
              <w:rFonts w:ascii="Arial" w:hAnsi="Arial" w:cs="Arial"/>
              <w:sz w:val="18"/>
            </w:rPr>
          </w:pPr>
        </w:p>
      </w:tc>
    </w:tr>
  </w:tbl>
  <w:p w:rsidR="00983514" w:rsidRPr="00983514" w:rsidRDefault="00983514">
    <w:pPr>
      <w:pStyle w:val="Pidipagina"/>
      <w:rPr>
        <w:rFonts w:ascii="Arial" w:hAnsi="Arial" w:cs="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0BB" w:rsidRDefault="00BA70BB" w:rsidP="00983514">
      <w:pPr>
        <w:spacing w:after="0" w:line="240" w:lineRule="auto"/>
      </w:pPr>
      <w:r>
        <w:separator/>
      </w:r>
    </w:p>
  </w:footnote>
  <w:footnote w:type="continuationSeparator" w:id="1">
    <w:p w:rsidR="00BA70BB" w:rsidRDefault="00BA70BB" w:rsidP="0098351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1"/>
  <w:hideSpellingErrors/>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83514"/>
    <w:rsid w:val="006464CF"/>
    <w:rsid w:val="00983514"/>
    <w:rsid w:val="00A8388A"/>
    <w:rsid w:val="00BA70BB"/>
    <w:rsid w:val="00ED113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88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8351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83514"/>
  </w:style>
  <w:style w:type="paragraph" w:styleId="Pidipagina">
    <w:name w:val="footer"/>
    <w:basedOn w:val="Normale"/>
    <w:link w:val="PidipaginaCarattere"/>
    <w:uiPriority w:val="99"/>
    <w:semiHidden/>
    <w:unhideWhenUsed/>
    <w:rsid w:val="009835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835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1118</Words>
  <Characters>6374</Characters>
  <Application>Microsoft Office Word</Application>
  <DocSecurity>0</DocSecurity>
  <Lines>53</Lines>
  <Paragraphs>14</Paragraphs>
  <ScaleCrop>false</ScaleCrop>
  <Company/>
  <LinksUpToDate>false</LinksUpToDate>
  <CharactersWithSpaces>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dcterms:created xsi:type="dcterms:W3CDTF">2020-01-27T11:16:00Z</dcterms:created>
  <dcterms:modified xsi:type="dcterms:W3CDTF">2020-01-27T11:16:00Z</dcterms:modified>
</cp:coreProperties>
</file>