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0C6" w:rsidRDefault="003610C6" w:rsidP="003610C6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bottom w:val="thickThinSmallGap" w:sz="24" w:space="0" w:color="AFE1FF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9638"/>
      </w:tblGrid>
      <w:tr w:rsidR="003610C6" w:rsidRPr="003610C6" w:rsidTr="003610C6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Scheda informativa</w:t>
            </w:r>
          </w:p>
        </w:tc>
      </w:tr>
      <w:tr w:rsidR="003610C6" w:rsidRPr="003610C6" w:rsidTr="003610C6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Scheda informativa del prodotto cosmetico</w:t>
            </w:r>
          </w:p>
        </w:tc>
      </w:tr>
    </w:tbl>
    <w:p w:rsidR="003610C6" w:rsidRDefault="003610C6" w:rsidP="003610C6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2891"/>
        <w:gridCol w:w="6747"/>
      </w:tblGrid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prodotto e della società/impresa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Nome commerciale e altri elementi identificativi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Crema viso superidratante - VIS094P</w:t>
            </w: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produttore/fornitore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Beauty2b srl, Via Polanga n.1, Foligno (PG).</w:t>
            </w: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Ufficio/persona da contattare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Andrea Pascucci</w:t>
            </w: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Recapito telefonico per informazioni ed emergenza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0742 391000</w:t>
            </w: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Composizione/informazione sul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 e altri elementi descrittivi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Ingredienti/ingredients: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Aqua, Ethylhexyl stearate, Glyceryl stearate, Glycerin, Cyclopentasiloxane, Caprylic/capric triglyceride, Cetyl alcohol, C12-15 alkyl benzoate, Phenoxyethanol, Dimethicone, Sodium polyacrylate, Ceteareth-20, Ceteareth-12, Cetearyl alcohol, Cetyl palmitate, Imidazolidinyl urea, Trideceth-6, Ethylhexylglycerin, Sodium dehydroacetate, Tocopheryl acetate, Butylene glycol, Parfum, PEG/PPG-18/18 dimethicone, Tetrasodium glutamate diacetate, Sodium hyaluronate, Hexyl cinnamal, PEG-40 hydrogenated castor oil, Polysorbate 20, Trideceth-9, Sodium bicarbonate, Xanthan gum crosspolymer, Pseudoalteromonas ferment extract, Amyl cinnamal, Benzyl salicylate, Hydroxyethylcellulose, Xanthan gum, CI 16255, Caprylyl glycol, Alpha-isomethyl ionone, Citronellol, Hydroxycitronellal, Linalool, Cinnamyl alcohol, Eugenol, Benzyl alcohol, Geraniol, Isoeugenol, Potassium sorbate, Alanine, Proline, Serine, Sodium phosphate, Lactic acid, Sodium hydroxide, Tocopherol</w:t>
            </w: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di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Pericoli di tipo fisico-chimico, potenziali effetti negativi per la salute e l’ambiente e sintomi connessi all’uso ed agli eventuali usi impropri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Quando usato secondo le istruzioni fornite dal produttore, il prodotto è sicuro per l'uomo e per l'ambiente.</w:t>
            </w: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Interventi di primo soccorso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di primo intervento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non indurre il vomito. Sciacquare la bocca e bere un bicchiere di acqua. Se opportuno, consultare un Centro Anti-veleni o un medico.</w:t>
            </w: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Contatto con gli occhi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sciacquare immediatamente con abbondante acqua tiepida; se l'irritazione persiste, consultare un medico come misura precauzionale.</w:t>
            </w: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e procedure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di estinzione e procedure in caso di incendio, indicazione dei mezzi estinguenti idonei e non, oltre ad eventuali pericoli legati all’esposizione ai prodotti o ai gas della combustione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Sono adatti tutti i mezzi antincendio comuni.</w:t>
            </w: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Provvedimento in caso di fuoriuscita accidentale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rivolte alle persone e all'ambiente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Raccogliere il prodotto fuoriuscito con stracci, convogliare in adatti contenitori per </w:t>
            </w:r>
            <w:r>
              <w:rPr>
                <w:rFonts w:ascii="Arial" w:hAnsi="Arial" w:cs="Arial"/>
                <w:sz w:val="18"/>
              </w:rPr>
              <w:lastRenderedPageBreak/>
              <w:t>lo smaltimento secondo le norme. Lavare con molta acqua le zone contaminate. Non rimettere mai il prodotto fuoriuscito nel contenitore originale. Non riutilizzare mai il prodotto fuoriuscito.</w:t>
            </w: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Manipolazione e immagazzinamento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per la manipolazione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Seguire attentamente le istruzioni riportate sulla confezione. Evitare qualdsiasi tipo di uso non previsto nelle istruzioni. Evitare le miscelazioni con altri prodotti o prodotti similari o con sostanze diverse non previste nelle specifiche istruzioni. Tenere il prodotto fuori dalla portata dei bambini.</w:t>
            </w: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generali per lo 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Conservare in luoghi asciutti e ben areati (temperatura ambiente). Non stoccare né usare il prodotto vicino a fiamme libere o a fonti di calore o apparecchi elettrici o alla luce solare diretta. Non stoccare il prodotto a temperatura inferiore a 5°. Richiudere bene il contenitore dopo l'uso.</w:t>
            </w: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Protezione personale/controllo dell'esposizione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generali protettive e di igiene del lavoro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 specifici di protezione e di prevenzione che devono essere presi durante l’uso del prodotto allo scopo di ridurre al minimo l’esposizione del personale e dell’ambiente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L'ambiente di lavoro deve essere adeguatamente areato, eventualmente con ricambio meccanico dell'aria ((Titolo II, D. Lgs. 81/2008 e s.m.i.). I punti in cui possono verificarsi emissioni di vapori, gas o polveri, o spandimenti di sostanze, dovranno essere predisposti in zone distinte, dotate di impianti di aspirazione localizzata o sistemi di raccolta (all. IV punto 2 D. Lgs 81/08 e s.m.i).</w:t>
            </w:r>
          </w:p>
          <w:p w:rsid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Nel caso in cui il Datore di lavoro identifichi rischi non evitabili o non sufficientemente riducibili con altri mezzi, è tenuto a mettere a disposizione dei lavoratori adeguati Dispositivi di Protezione Individuale (DPI) (artt. 75 e 77 D. Lgs 81/2008 e s.m.i.).</w:t>
            </w:r>
          </w:p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DPI devono essere conformi alle norme previste dal D.Lgs. 475/92 e s.m.i. (art. 76 D. Lgs. 81/2008 e s.m.i.).</w:t>
            </w: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 e reattività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 sulla stabilità e la possibilità che in determinate condizioni si verifichino reazioni pericolose, anche in caso di dispersione nell’ambiente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Prodotto stabile a temperatura ambiente.</w:t>
            </w: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 sul prodotto e i suoi componenti, se necessarie per una corretta 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dalla Valutazione dei rischi (art.28 del D. Lgs. 81/2008) dericva la necessità di attivare la sorveglianza sanitaria, il datore di lavoro dovrà nominare un medico competente (art. 18, comma 1, lettera a)) per sottoporre i lavoratori alle visite preassuntive e periodiche previste dalla norma (art.41 del D. Lgs. 81/2008). I lavoratori hanno l'obbligo di sottoporsi alla sorveglianza sanitaria prescritta dal Medico competente (artt. 20 e 78 D. Lgs, 81/08),</w:t>
            </w: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Osservazioni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Considerazioni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Descrizione dei metodi idonei per lo smaltimento del prodotto, nonché degli eventuali imballaggi contaminati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Relativamente allo smaltimento dei prodotti cosmetici, la normativa di riferimento è la Parte quarta del D. Lgs. 152/06 (Codice dell'Ambiente) e successive modifiche.</w:t>
            </w:r>
          </w:p>
          <w:p w:rsid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Ai fini dello smaltimento, i rifiuti non pericolosi provenienti da attività artigianali (nel caso di un salone di acconciatura o estetica si tratta di flaconi o contenitori usati vuoti) possono essere assimilati agli urbani se il Comune di appartenenza ha attuato le disposizioni previste all’art. 198 del D.Lgs. 152/06 (Codice dell'Ambiente) che elenca le competenze dei Comuni.</w:t>
            </w:r>
          </w:p>
          <w:p w:rsid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 base alla Parte terza Sezione II Titolo III e IV D. Lgs. 152/06  in materia di tutela delle acque e alle disposizioni regionali le attività professionali di acconciatura possono essere qualificate come insediamenti civili le cui acque di scarico </w:t>
            </w:r>
            <w:r>
              <w:rPr>
                <w:rFonts w:ascii="Arial" w:hAnsi="Arial" w:cs="Arial"/>
                <w:sz w:val="18"/>
              </w:rPr>
              <w:lastRenderedPageBreak/>
              <w:t>possono essere assimilate alle acque reflue domestiche ed immesse in fognatura come tali, purchè osservino i regolamenti emanati dalle autorità locali (ad es. Comuni e Consorzi) che gestiscono la pubblica fognatura.</w:t>
            </w: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Informazioni sulla normativa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sulla regolamentazione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Regolamento (CE) 1223/2009 in materia di prodotti cosmetici pronti all'uso; Regolamento (CE) 1272/2008 in materia di classificazione, etichettatura e imballaggio delle sostanze chimiche 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fabbricati e commercializzati in conformità al Regolamento (CE) 1223/2009 e successive modifiche.</w:t>
            </w:r>
          </w:p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specificatamente esclusi dal campo di applicazione della Legislazione comunitaria sulle sostanze e miscele pericolose (Regolamento (CE) 1272/2008). Sono esclusi anche dai provvedimenti del titolo IV del Regolamento (CE) 1907/2006.</w:t>
            </w: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610C6" w:rsidRPr="003610C6" w:rsidTr="003610C6">
        <w:trPr>
          <w:trHeight w:val="240"/>
        </w:trPr>
        <w:tc>
          <w:tcPr>
            <w:tcW w:w="2891" w:type="dxa"/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di compilazione della scheda</w:t>
            </w:r>
          </w:p>
        </w:tc>
        <w:tc>
          <w:tcPr>
            <w:tcW w:w="6747" w:type="dxa"/>
            <w:shd w:val="clear" w:color="auto" w:fill="FFFFFF"/>
            <w:vAlign w:val="center"/>
          </w:tcPr>
          <w:p w:rsidR="003610C6" w:rsidRPr="003610C6" w:rsidRDefault="003610C6" w:rsidP="003610C6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23/12/2019</w:t>
            </w:r>
          </w:p>
        </w:tc>
      </w:tr>
    </w:tbl>
    <w:p w:rsidR="003610C6" w:rsidRDefault="003610C6" w:rsidP="003610C6">
      <w:pPr>
        <w:spacing w:after="0" w:line="240" w:lineRule="auto"/>
        <w:rPr>
          <w:rFonts w:ascii="Arial" w:hAnsi="Arial" w:cs="Arial"/>
          <w:sz w:val="16"/>
        </w:rPr>
      </w:pPr>
    </w:p>
    <w:p w:rsidR="00A8388A" w:rsidRPr="003610C6" w:rsidRDefault="00A8388A">
      <w:pPr>
        <w:rPr>
          <w:rFonts w:ascii="Arial" w:hAnsi="Arial" w:cs="Arial"/>
          <w:sz w:val="16"/>
        </w:rPr>
      </w:pPr>
    </w:p>
    <w:sectPr w:rsidR="00A8388A" w:rsidRPr="003610C6" w:rsidSect="003610C6">
      <w:footerReference w:type="default" r:id="rId6"/>
      <w:pgSz w:w="11906" w:h="16838"/>
      <w:pgMar w:top="1417" w:right="1134" w:bottom="1417" w:left="1134" w:header="708" w:footer="4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7AF9" w:rsidRDefault="00297AF9" w:rsidP="003610C6">
      <w:pPr>
        <w:spacing w:after="0" w:line="240" w:lineRule="auto"/>
      </w:pPr>
      <w:r>
        <w:separator/>
      </w:r>
    </w:p>
  </w:endnote>
  <w:endnote w:type="continuationSeparator" w:id="1">
    <w:p w:rsidR="00297AF9" w:rsidRDefault="00297AF9" w:rsidP="00361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dotted" w:sz="2" w:space="0" w:color="auto"/>
      </w:tblBorders>
      <w:tblLayout w:type="fixed"/>
      <w:tblCellMar>
        <w:top w:w="113" w:type="dxa"/>
        <w:left w:w="70" w:type="dxa"/>
        <w:right w:w="70" w:type="dxa"/>
      </w:tblCellMar>
      <w:tblLook w:val="0000"/>
    </w:tblPr>
    <w:tblGrid>
      <w:gridCol w:w="9778"/>
    </w:tblGrid>
    <w:tr w:rsidR="003610C6" w:rsidTr="003610C6">
      <w:tblPrEx>
        <w:tblCellMar>
          <w:bottom w:w="0" w:type="dxa"/>
        </w:tblCellMar>
      </w:tblPrEx>
      <w:tc>
        <w:tcPr>
          <w:tcW w:w="9778" w:type="dxa"/>
          <w:shd w:val="clear" w:color="auto" w:fill="auto"/>
        </w:tcPr>
        <w:p w:rsidR="003610C6" w:rsidRDefault="003610C6" w:rsidP="003610C6">
          <w:pPr>
            <w:pStyle w:val="Pidipagina"/>
            <w:rPr>
              <w:rFonts w:ascii="Arial" w:hAnsi="Arial" w:cs="Arial"/>
              <w:sz w:val="18"/>
            </w:rPr>
          </w:pPr>
        </w:p>
      </w:tc>
    </w:tr>
  </w:tbl>
  <w:p w:rsidR="003610C6" w:rsidRPr="003610C6" w:rsidRDefault="003610C6">
    <w:pPr>
      <w:pStyle w:val="Pidipagina"/>
      <w:rPr>
        <w:rFonts w:ascii="Arial" w:hAnsi="Arial" w:cs="Arial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7AF9" w:rsidRDefault="00297AF9" w:rsidP="003610C6">
      <w:pPr>
        <w:spacing w:after="0" w:line="240" w:lineRule="auto"/>
      </w:pPr>
      <w:r>
        <w:separator/>
      </w:r>
    </w:p>
  </w:footnote>
  <w:footnote w:type="continuationSeparator" w:id="1">
    <w:p w:rsidR="00297AF9" w:rsidRDefault="00297AF9" w:rsidP="003610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10C6"/>
    <w:rsid w:val="000155DE"/>
    <w:rsid w:val="00297AF9"/>
    <w:rsid w:val="003610C6"/>
    <w:rsid w:val="00A83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38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610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610C6"/>
  </w:style>
  <w:style w:type="paragraph" w:styleId="Pidipagina">
    <w:name w:val="footer"/>
    <w:basedOn w:val="Normale"/>
    <w:link w:val="PidipaginaCarattere"/>
    <w:uiPriority w:val="99"/>
    <w:semiHidden/>
    <w:unhideWhenUsed/>
    <w:rsid w:val="003610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610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1127</Words>
  <Characters>6427</Characters>
  <Application>Microsoft Office Word</Application>
  <DocSecurity>0</DocSecurity>
  <Lines>53</Lines>
  <Paragraphs>15</Paragraphs>
  <ScaleCrop>false</ScaleCrop>
  <Company/>
  <LinksUpToDate>false</LinksUpToDate>
  <CharactersWithSpaces>7539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STEFANO</cp:lastModifiedBy>
  <cp:revision>1</cp:revision>
  <dcterms:created xsi:type="dcterms:W3CDTF">2019-12-30T14:45:00Z</dcterms:created>
  <dcterms:modified xsi:type="dcterms:W3CDTF">2019-12-30T14:47:00Z</dcterms:modified>
</cp:coreProperties>
</file>